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1267" w14:textId="77777777" w:rsidR="00150648" w:rsidRPr="00150648" w:rsidRDefault="00150648" w:rsidP="001506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85735"/>
        </w:rPr>
      </w:pPr>
      <w:r w:rsidRPr="00150648">
        <w:rPr>
          <w:rFonts w:ascii="Arial" w:eastAsia="Times New Roman" w:hAnsi="Arial" w:cs="Arial"/>
          <w:b/>
          <w:bCs/>
          <w:color w:val="985735"/>
        </w:rPr>
        <w:t>Abstract</w:t>
      </w:r>
    </w:p>
    <w:p w14:paraId="2729AF25" w14:textId="77777777" w:rsidR="00150648" w:rsidRPr="00150648" w:rsidRDefault="00150648" w:rsidP="00150648">
      <w:pPr>
        <w:shd w:val="clear" w:color="auto" w:fill="FFFFFF"/>
        <w:spacing w:after="120" w:line="36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50648">
        <w:rPr>
          <w:rFonts w:ascii="Arial" w:eastAsia="Times New Roman" w:hAnsi="Arial" w:cs="Arial"/>
          <w:color w:val="000000"/>
          <w:sz w:val="21"/>
          <w:szCs w:val="21"/>
        </w:rPr>
        <w:t>Carbon tetrachloride (CCl</w:t>
      </w:r>
      <w:r w:rsidRPr="00150648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150648">
        <w:rPr>
          <w:rFonts w:ascii="Arial" w:eastAsia="Times New Roman" w:hAnsi="Arial" w:cs="Arial"/>
          <w:color w:val="000000"/>
          <w:sz w:val="21"/>
          <w:szCs w:val="21"/>
        </w:rPr>
        <w:t>) is a strong hepatotoxic agent. The ability of the anti-inflammatory agent, lactoferrin (LF), to alleviate hepatic inflammation in a Wistar rat model administered with carbon tetrachloride (CCl</w:t>
      </w:r>
      <w:r w:rsidRPr="00150648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150648">
        <w:rPr>
          <w:rFonts w:ascii="Arial" w:eastAsia="Times New Roman" w:hAnsi="Arial" w:cs="Arial"/>
          <w:color w:val="000000"/>
          <w:sz w:val="21"/>
          <w:szCs w:val="21"/>
        </w:rPr>
        <w:t xml:space="preserve">) was examined. Thirty male Wistar rats were segregated into 5 groups (6 rats per group): Control group, LF group (300 mg LF/kg b. </w:t>
      </w:r>
      <w:proofErr w:type="spellStart"/>
      <w:r w:rsidRPr="00150648">
        <w:rPr>
          <w:rFonts w:ascii="Arial" w:eastAsia="Times New Roman" w:hAnsi="Arial" w:cs="Arial"/>
          <w:color w:val="000000"/>
          <w:sz w:val="21"/>
          <w:szCs w:val="21"/>
        </w:rPr>
        <w:t>wt</w:t>
      </w:r>
      <w:proofErr w:type="spellEnd"/>
      <w:r w:rsidRPr="00150648">
        <w:rPr>
          <w:rFonts w:ascii="Arial" w:eastAsia="Times New Roman" w:hAnsi="Arial" w:cs="Arial"/>
          <w:color w:val="000000"/>
          <w:sz w:val="21"/>
          <w:szCs w:val="21"/>
        </w:rPr>
        <w:t xml:space="preserve"> daily for three weeks), CCl</w:t>
      </w:r>
      <w:r w:rsidRPr="00150648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150648">
        <w:rPr>
          <w:rFonts w:ascii="Arial" w:eastAsia="Times New Roman" w:hAnsi="Arial" w:cs="Arial"/>
          <w:color w:val="000000"/>
          <w:sz w:val="21"/>
          <w:szCs w:val="21"/>
        </w:rPr>
        <w:t> group (1 ml CCl</w:t>
      </w:r>
      <w:r w:rsidRPr="00150648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150648">
        <w:rPr>
          <w:rFonts w:ascii="Arial" w:eastAsia="Times New Roman" w:hAnsi="Arial" w:cs="Arial"/>
          <w:color w:val="000000"/>
          <w:sz w:val="21"/>
          <w:szCs w:val="21"/>
        </w:rPr>
        <w:t xml:space="preserve">/kg b. </w:t>
      </w:r>
      <w:proofErr w:type="spellStart"/>
      <w:r w:rsidRPr="00150648">
        <w:rPr>
          <w:rFonts w:ascii="Arial" w:eastAsia="Times New Roman" w:hAnsi="Arial" w:cs="Arial"/>
          <w:color w:val="000000"/>
          <w:sz w:val="21"/>
          <w:szCs w:val="21"/>
        </w:rPr>
        <w:t>wt</w:t>
      </w:r>
      <w:proofErr w:type="spellEnd"/>
      <w:r w:rsidRPr="00150648">
        <w:rPr>
          <w:rFonts w:ascii="Arial" w:eastAsia="Times New Roman" w:hAnsi="Arial" w:cs="Arial"/>
          <w:color w:val="000000"/>
          <w:sz w:val="21"/>
          <w:szCs w:val="21"/>
        </w:rPr>
        <w:t xml:space="preserve"> once orally), LF-protected group (300 mg LF/kg b. </w:t>
      </w:r>
      <w:proofErr w:type="spellStart"/>
      <w:r w:rsidRPr="00150648">
        <w:rPr>
          <w:rFonts w:ascii="Arial" w:eastAsia="Times New Roman" w:hAnsi="Arial" w:cs="Arial"/>
          <w:color w:val="000000"/>
          <w:sz w:val="21"/>
          <w:szCs w:val="21"/>
        </w:rPr>
        <w:t>wt</w:t>
      </w:r>
      <w:proofErr w:type="spellEnd"/>
      <w:r w:rsidRPr="00150648">
        <w:rPr>
          <w:rFonts w:ascii="Arial" w:eastAsia="Times New Roman" w:hAnsi="Arial" w:cs="Arial"/>
          <w:color w:val="000000"/>
          <w:sz w:val="21"/>
          <w:szCs w:val="21"/>
        </w:rPr>
        <w:t xml:space="preserve"> daily for 3 weeks followed by 1 mL CCl</w:t>
      </w:r>
      <w:r w:rsidRPr="00150648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150648">
        <w:rPr>
          <w:rFonts w:ascii="Arial" w:eastAsia="Times New Roman" w:hAnsi="Arial" w:cs="Arial"/>
          <w:color w:val="000000"/>
          <w:sz w:val="21"/>
          <w:szCs w:val="21"/>
        </w:rPr>
        <w:t xml:space="preserve">/kg b. </w:t>
      </w:r>
      <w:proofErr w:type="spellStart"/>
      <w:r w:rsidRPr="00150648">
        <w:rPr>
          <w:rFonts w:ascii="Arial" w:eastAsia="Times New Roman" w:hAnsi="Arial" w:cs="Arial"/>
          <w:color w:val="000000"/>
          <w:sz w:val="21"/>
          <w:szCs w:val="21"/>
        </w:rPr>
        <w:t>wt</w:t>
      </w:r>
      <w:proofErr w:type="spellEnd"/>
      <w:r w:rsidRPr="00150648">
        <w:rPr>
          <w:rFonts w:ascii="Arial" w:eastAsia="Times New Roman" w:hAnsi="Arial" w:cs="Arial"/>
          <w:color w:val="000000"/>
          <w:sz w:val="21"/>
          <w:szCs w:val="21"/>
        </w:rPr>
        <w:t xml:space="preserve"> once orally), and LF-treated group (1 mL CCl</w:t>
      </w:r>
      <w:r w:rsidRPr="00150648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150648">
        <w:rPr>
          <w:rFonts w:ascii="Arial" w:eastAsia="Times New Roman" w:hAnsi="Arial" w:cs="Arial"/>
          <w:color w:val="000000"/>
          <w:sz w:val="21"/>
          <w:szCs w:val="21"/>
        </w:rPr>
        <w:t xml:space="preserve">/kg </w:t>
      </w:r>
      <w:proofErr w:type="spellStart"/>
      <w:r w:rsidRPr="00150648">
        <w:rPr>
          <w:rFonts w:ascii="Arial" w:eastAsia="Times New Roman" w:hAnsi="Arial" w:cs="Arial"/>
          <w:color w:val="000000"/>
          <w:sz w:val="21"/>
          <w:szCs w:val="21"/>
        </w:rPr>
        <w:t>b.wt</w:t>
      </w:r>
      <w:proofErr w:type="spellEnd"/>
      <w:r w:rsidRPr="00150648">
        <w:rPr>
          <w:rFonts w:ascii="Arial" w:eastAsia="Times New Roman" w:hAnsi="Arial" w:cs="Arial"/>
          <w:color w:val="000000"/>
          <w:sz w:val="21"/>
          <w:szCs w:val="21"/>
        </w:rPr>
        <w:t xml:space="preserve"> once orally followed by 300 mg LF/kg b. </w:t>
      </w:r>
      <w:proofErr w:type="spellStart"/>
      <w:r w:rsidRPr="00150648">
        <w:rPr>
          <w:rFonts w:ascii="Arial" w:eastAsia="Times New Roman" w:hAnsi="Arial" w:cs="Arial"/>
          <w:color w:val="000000"/>
          <w:sz w:val="21"/>
          <w:szCs w:val="21"/>
        </w:rPr>
        <w:t>wt</w:t>
      </w:r>
      <w:proofErr w:type="spellEnd"/>
      <w:r w:rsidRPr="00150648">
        <w:rPr>
          <w:rFonts w:ascii="Arial" w:eastAsia="Times New Roman" w:hAnsi="Arial" w:cs="Arial"/>
          <w:color w:val="000000"/>
          <w:sz w:val="21"/>
          <w:szCs w:val="21"/>
        </w:rPr>
        <w:t xml:space="preserve"> orally every day for three weeks). </w:t>
      </w:r>
      <w:proofErr w:type="spellStart"/>
      <w:r w:rsidRPr="00150648">
        <w:rPr>
          <w:rFonts w:ascii="Arial" w:eastAsia="Times New Roman" w:hAnsi="Arial" w:cs="Arial"/>
          <w:color w:val="000000"/>
          <w:sz w:val="21"/>
          <w:szCs w:val="21"/>
        </w:rPr>
        <w:t>Erythrogram</w:t>
      </w:r>
      <w:proofErr w:type="spellEnd"/>
      <w:r w:rsidRPr="00150648">
        <w:rPr>
          <w:rFonts w:ascii="Arial" w:eastAsia="Times New Roman" w:hAnsi="Arial" w:cs="Arial"/>
          <w:color w:val="000000"/>
          <w:sz w:val="21"/>
          <w:szCs w:val="21"/>
        </w:rPr>
        <w:t>, leukogram, activity of oxidative stress markers (Superoxide dismutase [SOD], Glutathione peroxidase [</w:t>
      </w:r>
      <w:proofErr w:type="spellStart"/>
      <w:r w:rsidRPr="00150648">
        <w:rPr>
          <w:rFonts w:ascii="Arial" w:eastAsia="Times New Roman" w:hAnsi="Arial" w:cs="Arial"/>
          <w:color w:val="000000"/>
          <w:sz w:val="21"/>
          <w:szCs w:val="21"/>
        </w:rPr>
        <w:t>GPx</w:t>
      </w:r>
      <w:proofErr w:type="spellEnd"/>
      <w:r w:rsidRPr="00150648">
        <w:rPr>
          <w:rFonts w:ascii="Arial" w:eastAsia="Times New Roman" w:hAnsi="Arial" w:cs="Arial"/>
          <w:color w:val="000000"/>
          <w:sz w:val="21"/>
          <w:szCs w:val="21"/>
        </w:rPr>
        <w:t>], and Malondialdehyde [MDA]), and expression of hepatic paraoxonase-1 (PON1), interleukin (IL)-1β, and IL-10 mRNA were determined. Histopathological examination of the hepatic tissue was carried out. CCl</w:t>
      </w:r>
      <w:r w:rsidRPr="00150648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150648">
        <w:rPr>
          <w:rFonts w:ascii="Arial" w:eastAsia="Times New Roman" w:hAnsi="Arial" w:cs="Arial"/>
          <w:color w:val="000000"/>
          <w:sz w:val="21"/>
          <w:szCs w:val="21"/>
        </w:rPr>
        <w:t xml:space="preserve"> caused liver injury, loss of liver antioxidant activity of SOD and </w:t>
      </w:r>
      <w:proofErr w:type="spellStart"/>
      <w:r w:rsidRPr="00150648">
        <w:rPr>
          <w:rFonts w:ascii="Arial" w:eastAsia="Times New Roman" w:hAnsi="Arial" w:cs="Arial"/>
          <w:color w:val="000000"/>
          <w:sz w:val="21"/>
          <w:szCs w:val="21"/>
        </w:rPr>
        <w:t>GPx</w:t>
      </w:r>
      <w:proofErr w:type="spellEnd"/>
      <w:r w:rsidRPr="00150648">
        <w:rPr>
          <w:rFonts w:ascii="Arial" w:eastAsia="Times New Roman" w:hAnsi="Arial" w:cs="Arial"/>
          <w:color w:val="000000"/>
          <w:sz w:val="21"/>
          <w:szCs w:val="21"/>
        </w:rPr>
        <w:t>, and a significant increase in the level of malondialdehyde in the serum. Moreover, CCl</w:t>
      </w:r>
      <w:r w:rsidRPr="00150648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150648">
        <w:rPr>
          <w:rFonts w:ascii="Arial" w:eastAsia="Times New Roman" w:hAnsi="Arial" w:cs="Arial"/>
          <w:color w:val="000000"/>
          <w:sz w:val="21"/>
          <w:szCs w:val="21"/>
        </w:rPr>
        <w:t> induced up-regulation of hepatic pro-inflammatory (IL-1β) factors, and down-regulation of anti-inflammatory (IL-10 and PON1) factors. Based on histopathological examination, the hepatic tissues had severe inflammation and were damaged. However, LF mitigated the liver damage, oxidative stress, and hepatotoxicity caused by CCl</w:t>
      </w:r>
      <w:r w:rsidRPr="00150648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4</w:t>
      </w:r>
      <w:r w:rsidRPr="00150648">
        <w:rPr>
          <w:rFonts w:ascii="Arial" w:eastAsia="Times New Roman" w:hAnsi="Arial" w:cs="Arial"/>
          <w:color w:val="000000"/>
          <w:sz w:val="21"/>
          <w:szCs w:val="21"/>
        </w:rPr>
        <w:t>. Overall, these results suggest that LF-mediated immunological mechanisms alleviate CCl4-induced hepatic toxicity and provide a novel perspective on the potential use of LF for prophylactic and therapeutic applications in treating liver diseases.</w:t>
      </w:r>
    </w:p>
    <w:p w14:paraId="0530DAFD" w14:textId="77777777" w:rsidR="00150648" w:rsidRPr="00150648" w:rsidRDefault="00150648" w:rsidP="00150648">
      <w:pPr>
        <w:shd w:val="clear" w:color="auto" w:fill="FFFFFF"/>
        <w:spacing w:after="0" w:line="240" w:lineRule="auto"/>
        <w:ind w:right="84"/>
        <w:outlineLvl w:val="3"/>
        <w:rPr>
          <w:rFonts w:ascii="Arial" w:eastAsia="Times New Roman" w:hAnsi="Arial" w:cs="Arial"/>
          <w:b/>
          <w:bCs/>
          <w:caps/>
          <w:color w:val="000000"/>
        </w:rPr>
      </w:pPr>
      <w:r w:rsidRPr="00150648">
        <w:rPr>
          <w:rFonts w:ascii="Arial" w:eastAsia="Times New Roman" w:hAnsi="Arial" w:cs="Arial"/>
          <w:b/>
          <w:bCs/>
          <w:caps/>
          <w:color w:val="000000"/>
        </w:rPr>
        <w:t>KEYWORDS:</w:t>
      </w:r>
    </w:p>
    <w:p w14:paraId="3E4DDD66" w14:textId="77777777" w:rsidR="00150648" w:rsidRPr="00150648" w:rsidRDefault="00150648" w:rsidP="001506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50648">
        <w:rPr>
          <w:rFonts w:ascii="Arial" w:eastAsia="Times New Roman" w:hAnsi="Arial" w:cs="Arial"/>
          <w:color w:val="000000"/>
        </w:rPr>
        <w:t>Anti-oxidant enzymes; inflammation; liver; paraoxonase-1</w:t>
      </w:r>
    </w:p>
    <w:p w14:paraId="24B75C89" w14:textId="77777777" w:rsidR="00150648" w:rsidRDefault="00150648">
      <w:bookmarkStart w:id="0" w:name="_GoBack"/>
      <w:bookmarkEnd w:id="0"/>
    </w:p>
    <w:sectPr w:rsidR="00150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48"/>
    <w:rsid w:val="001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9793"/>
  <w15:chartTrackingRefBased/>
  <w15:docId w15:val="{73365EE9-86A0-4CB3-A851-C1FB6BA2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3518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8583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Abstract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ayman.samir@fvtm.bu.edu.eg</dc:creator>
  <cp:keywords/>
  <dc:description/>
  <cp:lastModifiedBy>ayman.samir@fvtm.bu.edu.eg</cp:lastModifiedBy>
  <cp:revision>1</cp:revision>
  <dcterms:created xsi:type="dcterms:W3CDTF">2019-04-19T14:34:00Z</dcterms:created>
  <dcterms:modified xsi:type="dcterms:W3CDTF">2019-04-19T14:35:00Z</dcterms:modified>
</cp:coreProperties>
</file>